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Hammarö kommunfullmäktige</w:t>
      </w:r>
    </w:p>
    <w:p>
      <w:pPr>
        <w:pStyle w:val="Heading1"/>
      </w:pPr>
      <w:r>
        <w:t xml:space="preserve">Satsning på säkra cykelvägar till Karlstad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Hammarö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Endast 18 % av pendlarna cyklar trots närhet till Karlstad (Trafikverket 2025). Brist på separata cykelbanor längs väg 61 ökar olycksrisken.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Hammarö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avsätta 8 miljoner kronor årligen för cykelvägsutbyggnad 2027–2030.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cykelplan tas fram tillsammans med Region Värmland senast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belysning och vinterväghållning förbättras på befintliga cykelstråk.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cykelparkeringar med tak byggs vid Hammaröbron och busshållplatser.</w:t>
      </w:r>
    </w:p>
    <w:p>
      <w:pPr>
        <w:spacing w:before="360"/>
      </w:pPr>
    </w:p>
    <w:p>
      <w:r>
        <w:t xml:space="preserve">Hammarö,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Hammarö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2026-07-14T03:19:06.133Z</dcterms:created>
  <dcterms:modified xsi:type="dcterms:W3CDTF">2026-07-14T03:19:06.133Z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